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firstLine="709"/>
        <w:rPr>
          <w:rFonts w:eastAsia="Times New Roman" w:cs="Times New Roman"/>
        </w:rPr>
      </w:pPr>
    </w:p>
    <w:p>
      <w:pPr>
        <w:ind w:firstLine="709"/>
        <w:rPr>
          <w:rFonts w:eastAsia="Times New Roman" w:cs="Times New Roman"/>
        </w:rPr>
      </w:pPr>
    </w:p>
    <w:p>
      <w:pPr>
        <w:ind w:firstLine="709"/>
        <w:rPr>
          <w:rFonts w:eastAsia="Times New Roman" w:cs="Times New Roman"/>
        </w:rPr>
      </w:pPr>
    </w:p>
    <w:p>
      <w:pPr>
        <w:ind w:firstLine="709"/>
        <w:rPr>
          <w:rFonts w:eastAsia="Times New Roman" w:cs="Times New Roman"/>
        </w:rPr>
      </w:pPr>
    </w:p>
    <w:p>
      <w:pPr>
        <w:ind w:firstLine="709"/>
        <w:rPr>
          <w:rFonts w:eastAsia="Times New Roman" w:cs="Times New Roman"/>
        </w:rPr>
      </w:pPr>
    </w:p>
    <w:p>
      <w:pPr>
        <w:ind w:firstLine="709"/>
        <w:rPr>
          <w:rFonts w:eastAsia="Times New Roman" w:cs="Times New Roman"/>
        </w:rPr>
      </w:pPr>
    </w:p>
    <w:p>
      <w:pPr>
        <w:ind w:firstLine="709"/>
        <w:rPr>
          <w:rFonts w:eastAsia="Times New Roman" w:cs="Times New Roman"/>
        </w:rPr>
      </w:pPr>
    </w:p>
    <w:p>
      <w:pPr>
        <w:ind w:firstLine="709"/>
        <w:rPr>
          <w:rFonts w:eastAsia="Times New Roman" w:cs="Times New Roman"/>
        </w:rPr>
      </w:pPr>
    </w:p>
    <w:p>
      <w:pPr>
        <w:ind w:firstLine="709"/>
        <w:rPr>
          <w:rFonts w:eastAsia="Times New Roman" w:cs="Times New Roman"/>
        </w:rPr>
      </w:pPr>
    </w:p>
    <w:p>
      <w:pPr>
        <w:ind w:firstLine="709"/>
        <w:rPr>
          <w:rFonts w:eastAsia="Times New Roman" w:cs="Times New Roman"/>
        </w:rPr>
      </w:pPr>
    </w:p>
    <w:p>
      <w:pPr>
        <w:ind w:firstLine="709"/>
        <w:rPr>
          <w:rFonts w:eastAsia="Times New Roman" w:cs="Times New Roman"/>
        </w:rPr>
      </w:pPr>
    </w:p>
    <w:p>
      <w:pPr>
        <w:ind w:firstLine="709"/>
        <w:rPr>
          <w:rFonts w:eastAsia="Times New Roman" w:cs="Times New Roman"/>
        </w:rPr>
      </w:pPr>
    </w:p>
    <w:p>
      <w:pPr>
        <w:ind w:firstLine="709"/>
        <w:rPr>
          <w:rFonts w:eastAsia="Times New Roman" w:cs="Times New Roman"/>
        </w:rPr>
      </w:pPr>
    </w:p>
    <w:p>
      <w:pPr>
        <w:tabs>
          <w:tab w:val="left" w:pos="720"/>
        </w:tabs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Cs/>
          <w:szCs w:val="28"/>
        </w:rPr>
        <w:t xml:space="preserve">О внесении изменений в </w:t>
      </w:r>
      <w:r>
        <w:rPr>
          <w:rFonts w:eastAsia="Times New Roman" w:cs="Times New Roman"/>
          <w:bCs/>
          <w:szCs w:val="28"/>
        </w:rPr>
        <w:t>государственную программу Еврейской автономной области «Развитие государственной гражданской службы Еврейской автономной области» на 2016 – 2023 годы, утвержденную постановлением правительства Еврейской автономной области от 20.10.2015 № 470-пп «О государственной программе Еврейской автономной области «Развитие государственной гражданской службы Еврейской автономной области» на 2016 – 2023 годы</w:t>
      </w:r>
      <w:r>
        <w:rPr>
          <w:rFonts w:eastAsia="Times New Roman" w:cs="Times New Roman"/>
          <w:bCs/>
          <w:szCs w:val="28"/>
        </w:rPr>
        <w:t xml:space="preserve">» </w:t>
      </w:r>
    </w:p>
    <w:p>
      <w:pPr>
        <w:tabs>
          <w:tab w:val="left" w:pos="720"/>
        </w:tabs>
        <w:ind w:firstLine="709"/>
        <w:jc w:val="both"/>
        <w:rPr>
          <w:rFonts w:eastAsia="Times New Roman" w:cs="Times New Roman"/>
          <w:szCs w:val="28"/>
        </w:rPr>
      </w:pPr>
    </w:p>
    <w:p>
      <w:pPr>
        <w:tabs>
          <w:tab w:val="left" w:pos="720"/>
        </w:tabs>
        <w:ind w:firstLine="709"/>
        <w:jc w:val="both"/>
        <w:rPr>
          <w:rFonts w:eastAsia="Times New Roman" w:cs="Times New Roman"/>
          <w:szCs w:val="28"/>
        </w:rPr>
      </w:pPr>
    </w:p>
    <w:p>
      <w:pPr>
        <w:tabs>
          <w:tab w:val="left" w:pos="720"/>
        </w:tabs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</w:t>
      </w:r>
      <w:r>
        <w:rPr>
          <w:rFonts w:eastAsia="Times New Roman" w:cs="Times New Roman"/>
          <w:szCs w:val="28"/>
        </w:rPr>
        <w:t xml:space="preserve">равительство Еврейской автономной области </w:t>
      </w:r>
    </w:p>
    <w:p>
      <w:pPr>
        <w:tabs>
          <w:tab w:val="left" w:pos="720"/>
        </w:tabs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ПОСТАНОВЛЯЕТ:</w:t>
      </w:r>
    </w:p>
    <w:p>
      <w:pPr>
        <w:tabs>
          <w:tab w:val="left" w:pos="720"/>
        </w:tabs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1. </w:t>
      </w:r>
      <w:r>
        <w:rPr>
          <w:rFonts w:eastAsia="Times New Roman" w:cs="Times New Roman"/>
          <w:szCs w:val="28"/>
        </w:rPr>
        <w:t>Внести в государственную программу Еврейской автономной области «Развитие государственной гражданской службы Еврейской автономной области» на 2016 – 2023 годы, утвержденную постановлением правительства Еврейской автономной области от 20.10.2015 № 470-пп «О государственной программе Еврейской автономной области «Развитие государственной гражданской службы Еврейской автономной области» на 2016 – 2023 годы», следующие изменения:</w:t>
      </w:r>
    </w:p>
    <w:p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t>1.</w:t>
      </w:r>
      <w:r>
        <w:rPr>
          <w:rFonts w:eastAsiaTheme="minorHAnsi" w:cs="Times New Roman"/>
          <w:szCs w:val="28"/>
          <w:lang w:eastAsia="en-US"/>
        </w:rPr>
        <w:t>1</w:t>
      </w:r>
      <w:r>
        <w:rPr>
          <w:rFonts w:eastAsiaTheme="minorHAnsi" w:cs="Times New Roman"/>
          <w:szCs w:val="28"/>
          <w:lang w:eastAsia="en-US"/>
        </w:rPr>
        <w:t xml:space="preserve">. Строки </w:t>
      </w:r>
      <w:r>
        <w:rPr>
          <w:rFonts w:eastAsiaTheme="minorHAnsi" w:cs="Times New Roman"/>
          <w:szCs w:val="28"/>
          <w:lang w:eastAsia="en-US"/>
        </w:rPr>
        <w:t xml:space="preserve">«Этапы и сроки реализации государственной программы» и </w:t>
      </w:r>
      <w:r>
        <w:rPr>
          <w:rFonts w:eastAsiaTheme="minorHAnsi" w:cs="Times New Roman"/>
          <w:szCs w:val="28"/>
          <w:lang w:eastAsia="en-US"/>
        </w:rPr>
        <w:t>«</w:t>
      </w:r>
      <w:hyperlink r:id="rId4" w:history="1">
        <w:r>
          <w:rPr>
            <w:rFonts w:eastAsiaTheme="minorHAnsi" w:cs="Times New Roman"/>
            <w:szCs w:val="28"/>
            <w:lang w:eastAsia="en-US"/>
          </w:rPr>
          <w:t>Ожидаемые</w:t>
        </w:r>
      </w:hyperlink>
      <w:r>
        <w:rPr>
          <w:rFonts w:eastAsiaTheme="minorHAnsi" w:cs="Times New Roman"/>
          <w:szCs w:val="28"/>
          <w:lang w:eastAsia="en-US"/>
        </w:rPr>
        <w:t xml:space="preserve"> результаты реализации государственной программы» раздела 1 «Паспорт государственной программы Еврейской автономной области «Развитие государственной гражданской службы Еврейской автономной области» на 2016 – 202</w:t>
      </w:r>
      <w:r>
        <w:rPr>
          <w:rFonts w:eastAsiaTheme="minorHAnsi" w:cs="Times New Roman"/>
          <w:szCs w:val="28"/>
          <w:lang w:eastAsia="en-US"/>
        </w:rPr>
        <w:t>3</w:t>
      </w:r>
      <w:r>
        <w:rPr>
          <w:rFonts w:eastAsiaTheme="minorHAnsi" w:cs="Times New Roman"/>
          <w:szCs w:val="28"/>
          <w:lang w:eastAsia="en-US"/>
        </w:rPr>
        <w:t xml:space="preserve"> годы» изложить в следующей редакции:</w:t>
      </w:r>
    </w:p>
    <w:p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 w:cs="Times New Roman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>«</w:t>
            </w:r>
            <w:r>
              <w:rPr>
                <w:rFonts w:eastAsiaTheme="minorHAnsi" w:cs="Times New Roman"/>
                <w:sz w:val="24"/>
                <w:lang w:eastAsia="en-US"/>
              </w:rPr>
              <w:t>Этапы и сроки реализации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 xml:space="preserve">2016 – </w:t>
            </w:r>
            <w:r>
              <w:rPr>
                <w:rFonts w:eastAsiaTheme="minorHAnsi" w:cs="Times New Roman"/>
                <w:sz w:val="24"/>
                <w:lang w:eastAsia="en-US"/>
              </w:rPr>
              <w:t>202</w:t>
            </w:r>
            <w:r>
              <w:rPr>
                <w:rFonts w:eastAsiaTheme="minorHAnsi" w:cs="Times New Roman"/>
                <w:sz w:val="24"/>
                <w:lang w:eastAsia="en-US"/>
              </w:rPr>
              <w:t>3</w:t>
            </w:r>
            <w:r>
              <w:rPr>
                <w:rFonts w:eastAsiaTheme="minorHAnsi" w:cs="Times New Roman"/>
                <w:sz w:val="24"/>
                <w:lang w:eastAsia="en-US"/>
              </w:rPr>
              <w:t xml:space="preserve"> годы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 xml:space="preserve">Ожидаемые результаты реализации </w:t>
            </w:r>
            <w:r>
              <w:rPr>
                <w:rFonts w:eastAsiaTheme="minorHAnsi" w:cs="Times New Roman"/>
                <w:sz w:val="24"/>
                <w:lang w:eastAsia="en-US"/>
              </w:rPr>
              <w:lastRenderedPageBreak/>
              <w:t>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lastRenderedPageBreak/>
              <w:t>1. Разработка планов профессионального развития государственных гражданских служащих Еврейской автономной области к 2018 году всеми государственными гражданскими служащими Еврейской автономной области (100%).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lastRenderedPageBreak/>
              <w:t>2. Обучение 1</w:t>
            </w:r>
            <w:r>
              <w:rPr>
                <w:rFonts w:eastAsiaTheme="minorHAnsi" w:cs="Times New Roman"/>
                <w:sz w:val="24"/>
                <w:lang w:eastAsia="en-US"/>
              </w:rPr>
              <w:t>58</w:t>
            </w:r>
            <w:r>
              <w:rPr>
                <w:rFonts w:eastAsiaTheme="minorHAnsi" w:cs="Times New Roman"/>
                <w:sz w:val="24"/>
                <w:lang w:eastAsia="en-US"/>
              </w:rPr>
              <w:t xml:space="preserve"> государственных гражданских служащих Еврейской автономной области по программам дополнительного профессионального образования.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>3. Формирование кадрового резерва для замещения должностей государственной гражданской службы Еврейской автономной области на конкурсной основе к 2023 году на 30%.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>4. Увеличение практического использования кадрового резерва Еврейской автономной области для замещения вакантных должностей государственной гражданской службы к 2023 году до 20%»</w:t>
            </w:r>
            <w:r>
              <w:rPr>
                <w:rFonts w:eastAsiaTheme="minorHAnsi" w:cs="Times New Roman"/>
                <w:sz w:val="24"/>
                <w:lang w:eastAsia="en-US"/>
              </w:rPr>
              <w:t>.</w:t>
            </w:r>
          </w:p>
        </w:tc>
      </w:tr>
    </w:tbl>
    <w:p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</w:pPr>
    </w:p>
    <w:p>
      <w:pPr>
        <w:widowControl w:val="0"/>
        <w:tabs>
          <w:tab w:val="left" w:pos="720"/>
        </w:tabs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Cs/>
          <w:szCs w:val="28"/>
        </w:rPr>
        <w:t xml:space="preserve">1.2. Таблицу 1 </w:t>
      </w:r>
      <w:r>
        <w:t>«</w:t>
      </w:r>
      <w:r>
        <w:rPr>
          <w:rFonts w:eastAsia="Times New Roman" w:cs="Times New Roman"/>
          <w:szCs w:val="28"/>
        </w:rPr>
        <w:t>Сведения о показателях и индикаторах государственной программы»</w:t>
      </w:r>
      <w:r>
        <w:rPr>
          <w:rFonts w:eastAsia="Times New Roman" w:cs="Times New Roman"/>
          <w:bCs/>
          <w:szCs w:val="28"/>
        </w:rPr>
        <w:t xml:space="preserve"> </w:t>
      </w:r>
      <w:hyperlink r:id="rId5" w:history="1">
        <w:r>
          <w:rPr>
            <w:rStyle w:val="a8"/>
            <w:rFonts w:eastAsia="Times New Roman" w:cs="Times New Roman"/>
            <w:bCs/>
            <w:color w:val="auto"/>
            <w:szCs w:val="28"/>
            <w:u w:val="none"/>
          </w:rPr>
          <w:t>раздела 4</w:t>
        </w:r>
      </w:hyperlink>
      <w:r>
        <w:rPr>
          <w:rFonts w:eastAsia="Times New Roman" w:cs="Times New Roman"/>
          <w:bCs/>
          <w:szCs w:val="28"/>
        </w:rPr>
        <w:t xml:space="preserve"> «Перечень показателей и индикаторов государственной программы» </w:t>
      </w:r>
      <w:r>
        <w:rPr>
          <w:rFonts w:eastAsia="Times New Roman" w:cs="Times New Roman"/>
          <w:szCs w:val="28"/>
        </w:rPr>
        <w:t xml:space="preserve">изложить в следующей редакции: </w:t>
      </w:r>
    </w:p>
    <w:p>
      <w:pPr>
        <w:tabs>
          <w:tab w:val="left" w:pos="720"/>
        </w:tabs>
        <w:ind w:firstLine="709"/>
        <w:jc w:val="both"/>
        <w:rPr>
          <w:rFonts w:eastAsia="Times New Roman" w:cs="Times New Roman"/>
          <w:szCs w:val="28"/>
        </w:rPr>
        <w:sectPr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>
      <w:pPr>
        <w:pStyle w:val="ConsPlusNormal"/>
        <w:widowControl/>
        <w:ind w:left="709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«Таблица 1</w:t>
      </w:r>
    </w:p>
    <w:p>
      <w:pPr>
        <w:pStyle w:val="ConsPlusNormal"/>
        <w:widowControl/>
        <w:ind w:left="709" w:firstLine="709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widowControl/>
        <w:ind w:left="709" w:firstLine="709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показателях и индикаторах государственной программы </w:t>
      </w:r>
    </w:p>
    <w:p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955"/>
        <w:gridCol w:w="1701"/>
        <w:gridCol w:w="708"/>
        <w:gridCol w:w="709"/>
        <w:gridCol w:w="709"/>
        <w:gridCol w:w="709"/>
        <w:gridCol w:w="709"/>
        <w:gridCol w:w="708"/>
        <w:gridCol w:w="709"/>
        <w:gridCol w:w="709"/>
        <w:gridCol w:w="786"/>
      </w:tblGrid>
      <w:tr>
        <w:trPr>
          <w:trHeight w:val="278"/>
        </w:trPr>
        <w:tc>
          <w:tcPr>
            <w:tcW w:w="674" w:type="dxa"/>
            <w:vMerge w:val="restart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5955" w:type="dxa"/>
            <w:vMerge w:val="restart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701" w:type="dxa"/>
            <w:vMerge w:val="restart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6456" w:type="dxa"/>
            <w:gridSpan w:val="9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>
        <w:trPr>
          <w:trHeight w:val="277"/>
        </w:trPr>
        <w:tc>
          <w:tcPr>
            <w:tcW w:w="674" w:type="dxa"/>
            <w:vMerge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08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86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</w:tbl>
    <w:p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5955"/>
        <w:gridCol w:w="1701"/>
        <w:gridCol w:w="708"/>
        <w:gridCol w:w="709"/>
        <w:gridCol w:w="709"/>
        <w:gridCol w:w="709"/>
        <w:gridCol w:w="709"/>
        <w:gridCol w:w="708"/>
        <w:gridCol w:w="709"/>
        <w:gridCol w:w="709"/>
        <w:gridCol w:w="786"/>
      </w:tblGrid>
      <w:tr>
        <w:tc>
          <w:tcPr>
            <w:tcW w:w="674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rFonts w:eastAsiaTheme="minorHAnsi"/>
                <w:sz w:val="24"/>
                <w:lang w:eastAsia="en-US"/>
              </w:rPr>
              <w:t>Доля государственных гражданских служащих области, для которых утверждены индивидуальные планы профессионального развития</w:t>
            </w:r>
          </w:p>
        </w:tc>
        <w:tc>
          <w:tcPr>
            <w:tcW w:w="1701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c>
          <w:tcPr>
            <w:tcW w:w="674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5" w:type="dxa"/>
          </w:tcPr>
          <w:p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гражданских служащих области, прошедших повышение квалификации</w:t>
            </w:r>
          </w:p>
        </w:tc>
        <w:tc>
          <w:tcPr>
            <w:tcW w:w="1701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8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86" w:type="dxa"/>
            <w:shd w:val="clear" w:color="auto" w:fill="auto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>
        <w:tc>
          <w:tcPr>
            <w:tcW w:w="674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5" w:type="dxa"/>
          </w:tcPr>
          <w:p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кадрового резерва для замещения должностей государственной гражданской службы области на конкурсной основе</w:t>
            </w:r>
          </w:p>
        </w:tc>
        <w:tc>
          <w:tcPr>
            <w:tcW w:w="1701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6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>
        <w:tc>
          <w:tcPr>
            <w:tcW w:w="674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5" w:type="dxa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>Увеличение доли вакантных должностей государственной гражданской службы области, замещаемых на основе назначения из кадрового резерва области</w:t>
            </w:r>
          </w:p>
        </w:tc>
        <w:tc>
          <w:tcPr>
            <w:tcW w:w="1701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6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20».</w:t>
            </w:r>
          </w:p>
        </w:tc>
      </w:tr>
    </w:tbl>
    <w:p>
      <w:pPr>
        <w:tabs>
          <w:tab w:val="left" w:pos="720"/>
        </w:tabs>
        <w:ind w:firstLine="709"/>
        <w:jc w:val="both"/>
        <w:rPr>
          <w:rFonts w:eastAsia="Times New Roman" w:cs="Times New Roman"/>
          <w:szCs w:val="28"/>
        </w:rPr>
        <w:sectPr>
          <w:headerReference w:type="first" r:id="rId10"/>
          <w:pgSz w:w="16838" w:h="11906" w:orient="landscape"/>
          <w:pgMar w:top="1701" w:right="1134" w:bottom="850" w:left="1134" w:header="709" w:footer="709" w:gutter="0"/>
          <w:cols w:space="708"/>
          <w:titlePg/>
          <w:docGrid w:linePitch="381"/>
        </w:sectPr>
      </w:pPr>
    </w:p>
    <w:p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lastRenderedPageBreak/>
        <w:t>1.</w:t>
      </w:r>
      <w:r>
        <w:rPr>
          <w:rFonts w:eastAsia="Times New Roman" w:cs="Times New Roman"/>
          <w:bCs/>
          <w:szCs w:val="28"/>
        </w:rPr>
        <w:t>3.</w:t>
      </w:r>
      <w:r>
        <w:rPr>
          <w:rFonts w:eastAsia="Times New Roman" w:cs="Times New Roman"/>
          <w:bCs/>
          <w:szCs w:val="28"/>
        </w:rPr>
        <w:t xml:space="preserve"> В абзаце седьмом</w:t>
      </w:r>
      <w:r>
        <w:rPr>
          <w:rFonts w:eastAsia="Times New Roman" w:cs="Times New Roman"/>
          <w:bCs/>
          <w:szCs w:val="28"/>
        </w:rPr>
        <w:t xml:space="preserve"> </w:t>
      </w:r>
      <w:r>
        <w:rPr>
          <w:rFonts w:eastAsia="Times New Roman" w:cs="Times New Roman"/>
          <w:bCs/>
          <w:szCs w:val="28"/>
        </w:rPr>
        <w:t>раздел</w:t>
      </w:r>
      <w:r>
        <w:rPr>
          <w:rFonts w:eastAsia="Times New Roman" w:cs="Times New Roman"/>
          <w:bCs/>
          <w:szCs w:val="28"/>
        </w:rPr>
        <w:t>а</w:t>
      </w:r>
      <w:r>
        <w:rPr>
          <w:rFonts w:eastAsia="Times New Roman" w:cs="Times New Roman"/>
          <w:bCs/>
          <w:szCs w:val="28"/>
        </w:rPr>
        <w:t xml:space="preserve"> 5 «Прогноз конечных результатов государственной программы»</w:t>
      </w:r>
      <w:r>
        <w:rPr>
          <w:rFonts w:eastAsia="Times New Roman" w:cs="Times New Roman"/>
          <w:bCs/>
          <w:szCs w:val="28"/>
        </w:rPr>
        <w:t xml:space="preserve"> </w:t>
      </w:r>
      <w:r>
        <w:rPr>
          <w:rFonts w:eastAsia="Times New Roman" w:cs="Times New Roman"/>
          <w:bCs/>
          <w:szCs w:val="28"/>
        </w:rPr>
        <w:t>число «</w:t>
      </w:r>
      <w:r>
        <w:rPr>
          <w:rFonts w:eastAsia="Times New Roman" w:cs="Times New Roman"/>
          <w:bCs/>
          <w:szCs w:val="28"/>
        </w:rPr>
        <w:t>1</w:t>
      </w:r>
      <w:r>
        <w:rPr>
          <w:rFonts w:eastAsia="Times New Roman" w:cs="Times New Roman"/>
          <w:bCs/>
          <w:szCs w:val="28"/>
        </w:rPr>
        <w:t>73» заменить числом «1</w:t>
      </w:r>
      <w:r>
        <w:rPr>
          <w:rFonts w:eastAsia="Times New Roman" w:cs="Times New Roman"/>
          <w:bCs/>
          <w:szCs w:val="28"/>
        </w:rPr>
        <w:t>58</w:t>
      </w:r>
      <w:r>
        <w:rPr>
          <w:rFonts w:eastAsia="Times New Roman" w:cs="Times New Roman"/>
          <w:bCs/>
          <w:szCs w:val="28"/>
        </w:rPr>
        <w:t>».</w:t>
      </w:r>
    </w:p>
    <w:p>
      <w:pPr>
        <w:tabs>
          <w:tab w:val="left" w:pos="720"/>
        </w:tabs>
        <w:ind w:firstLine="709"/>
        <w:jc w:val="both"/>
      </w:pPr>
      <w:r>
        <w:rPr>
          <w:rFonts w:eastAsia="Times New Roman" w:cs="Times New Roman"/>
          <w:bCs/>
          <w:szCs w:val="28"/>
        </w:rPr>
        <w:t>1.</w:t>
      </w:r>
      <w:r>
        <w:rPr>
          <w:rFonts w:eastAsia="Times New Roman" w:cs="Times New Roman"/>
          <w:bCs/>
          <w:szCs w:val="28"/>
        </w:rPr>
        <w:t>4</w:t>
      </w:r>
      <w:r>
        <w:rPr>
          <w:rFonts w:eastAsia="Times New Roman" w:cs="Times New Roman"/>
          <w:bCs/>
          <w:szCs w:val="28"/>
        </w:rPr>
        <w:t xml:space="preserve">. </w:t>
      </w:r>
      <w:r>
        <w:t>В пункте 1.1.1 пункта 1.1 раздела 1 «Задача: профессиональное развитие кадрового состава государственной гражданской служба области» таблицы 2 «Перечень мероприятий государственной программы и ожидаемые результаты их реализации» раздела 7 «Система программных мероприятий» числа «25», «25», «25», «25» заменить соответственно числами «10</w:t>
      </w:r>
      <w:bookmarkStart w:id="0" w:name="_GoBack"/>
      <w:bookmarkEnd w:id="0"/>
      <w:r>
        <w:t>», «25», «25», «25».</w:t>
      </w:r>
    </w:p>
    <w:p>
      <w:pPr>
        <w:autoSpaceDE w:val="0"/>
        <w:autoSpaceDN w:val="0"/>
        <w:adjustRightInd w:val="0"/>
        <w:ind w:firstLine="709"/>
        <w:jc w:val="both"/>
      </w:pPr>
      <w:r>
        <w:rPr>
          <w:rFonts w:eastAsia="Times New Roman" w:cs="Times New Roman"/>
          <w:szCs w:val="28"/>
          <w:lang w:eastAsia="en-US"/>
        </w:rPr>
        <w:t>1.</w:t>
      </w:r>
      <w:r>
        <w:rPr>
          <w:rFonts w:eastAsia="Times New Roman" w:cs="Times New Roman"/>
          <w:szCs w:val="28"/>
          <w:lang w:eastAsia="en-US"/>
        </w:rPr>
        <w:t>5</w:t>
      </w:r>
      <w:r>
        <w:rPr>
          <w:rFonts w:eastAsia="Times New Roman" w:cs="Times New Roman"/>
          <w:szCs w:val="28"/>
          <w:lang w:eastAsia="en-US"/>
        </w:rPr>
        <w:t>.</w:t>
      </w:r>
      <w:r>
        <w:t xml:space="preserve"> </w:t>
      </w:r>
      <w:r>
        <w:t>В разделе 9 «Ресурсное обеспечение реализации государственной программы»:</w:t>
      </w:r>
    </w:p>
    <w:p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en-US"/>
        </w:rPr>
      </w:pPr>
      <w:r>
        <w:t xml:space="preserve">1.5.1. </w:t>
      </w:r>
      <w:r>
        <w:rPr>
          <w:rFonts w:eastAsia="Times New Roman" w:cs="Times New Roman"/>
          <w:szCs w:val="28"/>
          <w:lang w:eastAsia="en-US"/>
        </w:rPr>
        <w:t>Таблицу 3 «Ресурсное обеспечение реализации государственной программы за счет средств областного бюджета» изложить в следующей редакции:</w:t>
      </w:r>
    </w:p>
    <w:p>
      <w:pPr>
        <w:tabs>
          <w:tab w:val="left" w:pos="720"/>
        </w:tabs>
        <w:ind w:firstLine="709"/>
        <w:jc w:val="both"/>
      </w:pPr>
    </w:p>
    <w:p>
      <w:pPr>
        <w:tabs>
          <w:tab w:val="left" w:pos="720"/>
        </w:tabs>
        <w:ind w:firstLine="709"/>
        <w:jc w:val="both"/>
      </w:pPr>
    </w:p>
    <w:p>
      <w:pPr>
        <w:tabs>
          <w:tab w:val="left" w:pos="720"/>
        </w:tabs>
        <w:ind w:firstLine="709"/>
        <w:jc w:val="both"/>
        <w:sectPr>
          <w:headerReference w:type="default" r:id="rId11"/>
          <w:footerReference w:type="default" r:id="rId12"/>
          <w:footerReference w:type="first" r:id="rId13"/>
          <w:pgSz w:w="11906" w:h="16838" w:code="9"/>
          <w:pgMar w:top="1134" w:right="850" w:bottom="1134" w:left="1701" w:header="567" w:footer="567" w:gutter="0"/>
          <w:cols w:space="708"/>
          <w:titlePg/>
          <w:docGrid w:linePitch="381"/>
        </w:sectPr>
      </w:pPr>
    </w:p>
    <w:p>
      <w:pPr>
        <w:autoSpaceDE w:val="0"/>
        <w:autoSpaceDN w:val="0"/>
        <w:adjustRightInd w:val="0"/>
        <w:jc w:val="right"/>
        <w:outlineLvl w:val="0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lastRenderedPageBreak/>
        <w:t>«Таблица 3</w:t>
      </w:r>
    </w:p>
    <w:p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  <w:lang w:eastAsia="en-US"/>
        </w:rPr>
      </w:pPr>
    </w:p>
    <w:p>
      <w:pPr>
        <w:autoSpaceDE w:val="0"/>
        <w:autoSpaceDN w:val="0"/>
        <w:adjustRightInd w:val="0"/>
        <w:jc w:val="center"/>
        <w:rPr>
          <w:rFonts w:eastAsiaTheme="minorHAnsi" w:cs="Times New Roman"/>
          <w:bCs/>
          <w:szCs w:val="28"/>
          <w:lang w:eastAsia="en-US"/>
        </w:rPr>
      </w:pPr>
      <w:r>
        <w:rPr>
          <w:rFonts w:eastAsiaTheme="minorHAnsi" w:cs="Times New Roman"/>
          <w:bCs/>
          <w:szCs w:val="28"/>
          <w:lang w:eastAsia="en-US"/>
        </w:rPr>
        <w:t>Ресурсное обеспечение реализации государственной программы</w:t>
      </w:r>
    </w:p>
    <w:p>
      <w:pPr>
        <w:autoSpaceDE w:val="0"/>
        <w:autoSpaceDN w:val="0"/>
        <w:adjustRightInd w:val="0"/>
        <w:jc w:val="center"/>
        <w:rPr>
          <w:rFonts w:eastAsiaTheme="minorHAnsi" w:cs="Times New Roman"/>
          <w:bCs/>
          <w:szCs w:val="28"/>
          <w:lang w:eastAsia="en-US"/>
        </w:rPr>
      </w:pPr>
      <w:r>
        <w:rPr>
          <w:rFonts w:eastAsiaTheme="minorHAnsi" w:cs="Times New Roman"/>
          <w:bCs/>
          <w:szCs w:val="28"/>
          <w:lang w:eastAsia="en-US"/>
        </w:rPr>
        <w:t>за счет средств областного бюджета</w:t>
      </w:r>
    </w:p>
    <w:p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en-US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42"/>
        <w:gridCol w:w="2126"/>
        <w:gridCol w:w="1843"/>
        <w:gridCol w:w="709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Наименование государственной программы, основного мероприятия,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Ответственный исполнитель, участники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Код бюджетной классификации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 xml:space="preserve">Расходы </w:t>
            </w:r>
            <w:hyperlink r:id="rId14" w:history="1">
              <w:r>
                <w:rPr>
                  <w:rFonts w:eastAsia="Times New Roman" w:cs="Times New Roman"/>
                  <w:sz w:val="24"/>
                  <w:lang w:eastAsia="en-US"/>
                </w:rPr>
                <w:t>&lt;*&gt;</w:t>
              </w:r>
            </w:hyperlink>
            <w:r>
              <w:rPr>
                <w:rFonts w:eastAsia="Times New Roman" w:cs="Times New Roman"/>
                <w:sz w:val="24"/>
                <w:lang w:eastAsia="en-US"/>
              </w:rPr>
              <w:t xml:space="preserve"> (тыс. рублей), годы</w:t>
            </w:r>
          </w:p>
        </w:tc>
      </w:tr>
      <w:tr>
        <w:tc>
          <w:tcPr>
            <w:tcW w:w="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eastAsia="Times New Roman" w:cs="Times New Roman"/>
                <w:sz w:val="24"/>
                <w:lang w:eastAsia="en-US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2023</w:t>
            </w:r>
          </w:p>
        </w:tc>
      </w:tr>
      <w:tr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15</w:t>
            </w:r>
          </w:p>
        </w:tc>
      </w:tr>
      <w:tr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Государственная программа «Развитие государственной гражданской службы Еврейской автономной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32000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2409,6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470,00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311,5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222,4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205,7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300,0</w:t>
            </w:r>
            <w:r>
              <w:rPr>
                <w:rFonts w:eastAsia="Times New Roman" w:cs="Times New Roman"/>
                <w:sz w:val="24"/>
                <w:lang w:eastAsia="en-US"/>
              </w:rPr>
              <w:t xml:space="preserve">,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 xml:space="preserve">в том числе </w:t>
            </w:r>
            <w:r>
              <w:rPr>
                <w:rFonts w:eastAsiaTheme="minorHAnsi" w:cs="Times New Roman"/>
                <w:sz w:val="24"/>
                <w:lang w:eastAsia="en-US"/>
              </w:rPr>
              <w:t>179,3</w:t>
            </w:r>
            <w:r>
              <w:rPr>
                <w:rFonts w:eastAsiaTheme="minorHAnsi" w:cs="Times New Roman"/>
                <w:sz w:val="24"/>
                <w:lang w:eastAsia="en-US"/>
              </w:rPr>
              <w:t xml:space="preserve"> </w:t>
            </w:r>
            <w:hyperlink r:id="rId15" w:history="1">
              <w:r>
                <w:rPr>
                  <w:rFonts w:eastAsiaTheme="minorHAnsi" w:cs="Times New Roman"/>
                  <w:sz w:val="24"/>
                  <w:lang w:eastAsia="en-US"/>
                </w:rPr>
                <w:t xml:space="preserve">&lt;**&gt; 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300,0</w:t>
            </w:r>
          </w:p>
        </w:tc>
      </w:tr>
      <w:tr>
        <w:tc>
          <w:tcPr>
            <w:tcW w:w="146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Задача: профессиональное развитие кадрового состава государственной гражданской службы области</w:t>
            </w:r>
          </w:p>
        </w:tc>
      </w:tr>
      <w:t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1.1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Основное мероприятие:</w:t>
            </w:r>
          </w:p>
          <w:p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 xml:space="preserve">реализация программ дополнительного профессионального </w:t>
            </w:r>
            <w:r>
              <w:rPr>
                <w:rFonts w:eastAsia="Times New Roman" w:cs="Times New Roman"/>
                <w:sz w:val="24"/>
                <w:lang w:eastAsia="en-US"/>
              </w:rPr>
              <w:lastRenderedPageBreak/>
              <w:t>развития государственных гражданских служащих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lastRenderedPageBreak/>
              <w:t>Аппарат губернатора и правительства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32001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2409,6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470,00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311,5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222,4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205,7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 xml:space="preserve">300,0,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в том числе 179,3 &lt;**&gt;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300,0</w:t>
            </w:r>
          </w:p>
        </w:tc>
      </w:tr>
      <w:t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lastRenderedPageBreak/>
              <w:t>1.1.1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Организация профессиональной переподготовки, повышения квалификации государственных гражданских служащих, в том числе включенных в резерв управленческих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Аппарат губернатора и правительства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32001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03160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2409,6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470,00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311,5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222,4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205,7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 xml:space="preserve">300,0,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в том числе 179,3 &lt;**&gt;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300,0</w:t>
            </w:r>
          </w:p>
        </w:tc>
      </w:tr>
      <w:t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1.1.2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Погашение кредиторской задолженности по реализации программ дополнительного профессионального развития государственных гражданских служащих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 xml:space="preserve">001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 xml:space="preserve">0113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 xml:space="preserve">32001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 xml:space="preserve">03160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179,3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&lt;**&gt;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179,3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&lt;**&gt;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</w:p>
        </w:tc>
      </w:tr>
    </w:tbl>
    <w:p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lang w:eastAsia="en-US"/>
        </w:rPr>
      </w:pPr>
      <w:r>
        <w:rPr>
          <w:rFonts w:eastAsia="Times New Roman" w:cs="Times New Roman"/>
          <w:sz w:val="24"/>
          <w:lang w:eastAsia="en-US"/>
        </w:rPr>
        <w:t>&lt;*&gt; Объемы финансирования из областного бюджета являются прогнозными и могут уточняться в течение действия государственной программы.</w:t>
      </w:r>
    </w:p>
    <w:p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&lt;**&gt; Кредиторская задолженность 2019 года по состоянию на 01.01.2020.».</w:t>
      </w:r>
    </w:p>
    <w:p>
      <w:pPr>
        <w:tabs>
          <w:tab w:val="left" w:pos="720"/>
        </w:tabs>
        <w:ind w:firstLine="709"/>
        <w:jc w:val="both"/>
        <w:rPr>
          <w:rFonts w:eastAsia="Times New Roman" w:cs="Times New Roman"/>
          <w:szCs w:val="28"/>
        </w:rPr>
        <w:sectPr>
          <w:pgSz w:w="16838" w:h="11906" w:orient="landscape"/>
          <w:pgMar w:top="1701" w:right="1134" w:bottom="850" w:left="1134" w:header="709" w:footer="709" w:gutter="0"/>
          <w:cols w:space="708"/>
          <w:docGrid w:linePitch="381"/>
        </w:sectPr>
      </w:pP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>1.</w:t>
      </w:r>
      <w:r>
        <w:rPr>
          <w:rFonts w:eastAsia="Times New Roman" w:cs="Times New Roman"/>
          <w:szCs w:val="28"/>
        </w:rPr>
        <w:t>5</w:t>
      </w:r>
      <w:r>
        <w:rPr>
          <w:rFonts w:eastAsia="Times New Roman" w:cs="Times New Roman"/>
          <w:szCs w:val="28"/>
        </w:rPr>
        <w:t>.</w:t>
      </w:r>
      <w:r>
        <w:rPr>
          <w:rFonts w:eastAsia="Times New Roman" w:cs="Times New Roman"/>
          <w:szCs w:val="28"/>
        </w:rPr>
        <w:t>2.</w:t>
      </w:r>
      <w:r>
        <w:rPr>
          <w:rFonts w:eastAsia="Times New Roman" w:cs="Times New Roman"/>
          <w:szCs w:val="28"/>
        </w:rPr>
        <w:t xml:space="preserve"> Таблицу 4 «Структура финансирования государственной программы по направлениям расходов» изложить в следующей редакции: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  <w:sectPr>
          <w:pgSz w:w="11906" w:h="16838" w:code="9"/>
          <w:pgMar w:top="1134" w:right="850" w:bottom="1134" w:left="1701" w:header="567" w:footer="567" w:gutter="0"/>
          <w:cols w:space="708"/>
          <w:titlePg/>
          <w:docGrid w:linePitch="381"/>
        </w:sectPr>
      </w:pPr>
    </w:p>
    <w:p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>«Таблица 4</w:t>
      </w:r>
    </w:p>
    <w:p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Структура </w:t>
      </w:r>
    </w:p>
    <w:p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финансирования государственной программы по направлениям расходов</w:t>
      </w:r>
    </w:p>
    <w:p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sz w:val="26"/>
          <w:szCs w:val="26"/>
        </w:rPr>
      </w:pPr>
    </w:p>
    <w:tbl>
      <w:tblPr>
        <w:tblStyle w:val="a3"/>
        <w:tblW w:w="14850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1276"/>
        <w:gridCol w:w="1276"/>
        <w:gridCol w:w="1276"/>
        <w:gridCol w:w="1275"/>
        <w:gridCol w:w="1276"/>
        <w:gridCol w:w="1276"/>
        <w:gridCol w:w="1275"/>
        <w:gridCol w:w="1276"/>
      </w:tblGrid>
      <w:tr>
        <w:trPr>
          <w:trHeight w:val="275"/>
        </w:trPr>
        <w:tc>
          <w:tcPr>
            <w:tcW w:w="3085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Источники и направления расходов</w:t>
            </w:r>
          </w:p>
        </w:tc>
        <w:tc>
          <w:tcPr>
            <w:tcW w:w="11765" w:type="dxa"/>
            <w:gridSpan w:val="9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Расходы (тыс. рублей), годы</w:t>
            </w:r>
          </w:p>
        </w:tc>
      </w:tr>
      <w:tr>
        <w:trPr>
          <w:trHeight w:val="275"/>
        </w:trPr>
        <w:tc>
          <w:tcPr>
            <w:tcW w:w="3085" w:type="dxa"/>
            <w:vMerge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59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Всего</w:t>
            </w:r>
          </w:p>
        </w:tc>
        <w:tc>
          <w:tcPr>
            <w:tcW w:w="10206" w:type="dxa"/>
            <w:gridSpan w:val="8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в том числе по годам</w:t>
            </w:r>
          </w:p>
        </w:tc>
      </w:tr>
      <w:tr>
        <w:trPr>
          <w:trHeight w:val="70"/>
        </w:trPr>
        <w:tc>
          <w:tcPr>
            <w:tcW w:w="3085" w:type="dxa"/>
            <w:vMerge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59" w:type="dxa"/>
            <w:vMerge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2016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2017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2018</w:t>
            </w: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2019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2020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2021</w:t>
            </w: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2022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2023</w:t>
            </w:r>
          </w:p>
        </w:tc>
      </w:tr>
    </w:tbl>
    <w:p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"/>
          <w:szCs w:val="2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1276"/>
        <w:gridCol w:w="1276"/>
        <w:gridCol w:w="1276"/>
        <w:gridCol w:w="1275"/>
        <w:gridCol w:w="1276"/>
        <w:gridCol w:w="1276"/>
        <w:gridCol w:w="1275"/>
        <w:gridCol w:w="1276"/>
      </w:tblGrid>
      <w:tr>
        <w:tc>
          <w:tcPr>
            <w:tcW w:w="14850" w:type="dxa"/>
            <w:gridSpan w:val="10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Всего</w:t>
            </w:r>
          </w:p>
        </w:tc>
      </w:tr>
      <w:tr>
        <w:tc>
          <w:tcPr>
            <w:tcW w:w="3085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2409,6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470,0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311,5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222,4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127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 xml:space="preserve">205,7 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300,0</w:t>
            </w:r>
            <w:r>
              <w:rPr>
                <w:rFonts w:eastAsia="Times New Roman"/>
                <w:sz w:val="24"/>
                <w:lang w:eastAsia="en-US"/>
              </w:rPr>
              <w:t>, в том числе 179,3&lt;*&gt;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300,0</w:t>
            </w:r>
          </w:p>
        </w:tc>
        <w:tc>
          <w:tcPr>
            <w:tcW w:w="127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300,0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300,0</w:t>
            </w:r>
          </w:p>
        </w:tc>
      </w:tr>
      <w:tr>
        <w:tc>
          <w:tcPr>
            <w:tcW w:w="3085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</w:tr>
      <w:tr>
        <w:tc>
          <w:tcPr>
            <w:tcW w:w="3085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Другие источники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</w:tr>
      <w:tr>
        <w:tc>
          <w:tcPr>
            <w:tcW w:w="14850" w:type="dxa"/>
            <w:gridSpan w:val="10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Капитальные вложения</w:t>
            </w:r>
          </w:p>
        </w:tc>
      </w:tr>
      <w:tr>
        <w:tc>
          <w:tcPr>
            <w:tcW w:w="3085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</w:tr>
      <w:tr>
        <w:tc>
          <w:tcPr>
            <w:tcW w:w="3085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</w:tr>
      <w:tr>
        <w:tc>
          <w:tcPr>
            <w:tcW w:w="3085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Другие источники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</w:tr>
      <w:tr>
        <w:tc>
          <w:tcPr>
            <w:tcW w:w="14850" w:type="dxa"/>
            <w:gridSpan w:val="10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НИОКР</w:t>
            </w:r>
          </w:p>
        </w:tc>
      </w:tr>
      <w:tr>
        <w:tc>
          <w:tcPr>
            <w:tcW w:w="3085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</w:tr>
      <w:tr>
        <w:tc>
          <w:tcPr>
            <w:tcW w:w="3085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</w:tr>
      <w:tr>
        <w:tc>
          <w:tcPr>
            <w:tcW w:w="3085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Другие источники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</w:tr>
      <w:tr>
        <w:tc>
          <w:tcPr>
            <w:tcW w:w="14850" w:type="dxa"/>
            <w:gridSpan w:val="10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Прочие расходы</w:t>
            </w:r>
          </w:p>
        </w:tc>
      </w:tr>
      <w:tr>
        <w:tc>
          <w:tcPr>
            <w:tcW w:w="3085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2409,6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470,0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 xml:space="preserve">311,5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 xml:space="preserve">222,4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</w:p>
        </w:tc>
        <w:tc>
          <w:tcPr>
            <w:tcW w:w="127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205,7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300,0</w:t>
            </w:r>
            <w:r>
              <w:rPr>
                <w:rFonts w:eastAsia="Times New Roman"/>
                <w:sz w:val="24"/>
                <w:lang w:eastAsia="en-US"/>
              </w:rPr>
              <w:t>, в том числе 179,3&lt;*&gt;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300,0</w:t>
            </w:r>
          </w:p>
        </w:tc>
        <w:tc>
          <w:tcPr>
            <w:tcW w:w="127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300,0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300,0</w:t>
            </w:r>
          </w:p>
        </w:tc>
      </w:tr>
      <w:tr>
        <w:tc>
          <w:tcPr>
            <w:tcW w:w="3085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</w:tr>
      <w:tr>
        <w:tc>
          <w:tcPr>
            <w:tcW w:w="3085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Другие источники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&lt;*&gt; Кредиторская задолженность </w:t>
      </w:r>
      <w:r>
        <w:rPr>
          <w:rFonts w:cs="Times New Roman"/>
          <w:sz w:val="24"/>
        </w:rPr>
        <w:t xml:space="preserve">2019 года </w:t>
      </w:r>
      <w:r>
        <w:rPr>
          <w:rFonts w:cs="Times New Roman"/>
          <w:sz w:val="24"/>
        </w:rPr>
        <w:t>по состоянию на 01.01.20</w:t>
      </w:r>
      <w:r>
        <w:rPr>
          <w:rFonts w:cs="Times New Roman"/>
          <w:sz w:val="24"/>
        </w:rPr>
        <w:t>20</w:t>
      </w:r>
      <w:r>
        <w:rPr>
          <w:rFonts w:cs="Times New Roman"/>
          <w:sz w:val="24"/>
        </w:rPr>
        <w:t>.».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</w:rPr>
        <w:sectPr>
          <w:pgSz w:w="16838" w:h="11906" w:orient="landscape" w:code="9"/>
          <w:pgMar w:top="1701" w:right="1134" w:bottom="850" w:left="1134" w:header="567" w:footer="567" w:gutter="0"/>
          <w:cols w:space="708"/>
          <w:titlePg/>
          <w:docGrid w:linePitch="381"/>
        </w:sectPr>
      </w:pPr>
    </w:p>
    <w:p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  <w:lang w:eastAsia="en-US"/>
        </w:rPr>
        <w:lastRenderedPageBreak/>
        <w:t xml:space="preserve">2. </w:t>
      </w:r>
      <w:r>
        <w:rPr>
          <w:rFonts w:eastAsia="Times New Roman" w:cs="Times New Roman"/>
          <w:bCs/>
          <w:szCs w:val="28"/>
        </w:rPr>
        <w:t>Настоящее постановление вступает в силу со дня его подписания.</w:t>
      </w:r>
    </w:p>
    <w:p/>
    <w:p/>
    <w:p/>
    <w:p>
      <w:r>
        <w:t xml:space="preserve">Временно исполняющий обязанности </w:t>
      </w:r>
    </w:p>
    <w:p>
      <w:r>
        <w:t>г</w:t>
      </w:r>
      <w:r>
        <w:t>убернатор</w:t>
      </w:r>
      <w:r>
        <w:t>а</w:t>
      </w:r>
      <w:r>
        <w:t xml:space="preserve"> области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Р.Э. Гольдштейн</w:t>
      </w:r>
    </w:p>
    <w:p/>
    <w:sectPr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noProof/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noProof/>
        <w:sz w:val="24"/>
      </w:rPr>
      <w:t>4</w:t>
    </w:r>
    <w:r>
      <w:rPr>
        <w:sz w:val="24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noProof/>
        <w:sz w:val="24"/>
      </w:rPr>
      <w:t>6</w:t>
    </w:r>
    <w:r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9F4B4-8CEA-47B9-B545-4A975076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Theme="minorEastAsia" w:hAnsi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eastAsiaTheme="minorEastAsia" w:hAnsi="Times New Roman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hyperlink" Target="consultantplus://offline/ref=0754072A00EE15647407674E53BD9DD0B239C5A5F035309D1478DF7571961404A86ECFBFB336A0A678741E28FCC099220D82D1E2070F2BCD30F47AE7iEG" TargetMode="External"/><Relationship Id="rId15" Type="http://schemas.openxmlformats.org/officeDocument/2006/relationships/hyperlink" Target="consultantplus://offline/ref=971A97B2185B26A15C43362E859D3512B58901398EE94C4F7C5DE1C3E45DCBE8BD13C98EFB017E3D11B451ED1E516DF54AD82CD48EC6A9D950A2FEK8H" TargetMode="External"/><Relationship Id="rId10" Type="http://schemas.openxmlformats.org/officeDocument/2006/relationships/header" Target="header3.xml"/><Relationship Id="rId4" Type="http://schemas.openxmlformats.org/officeDocument/2006/relationships/hyperlink" Target="consultantplus://offline/ref=0BD16C4BC33507B5A93E68DCF5945D284870199EAE76867AA5C97CDD3A558794D1B66154140860D9AFB2A2A31C65ACD413442AC68CD1831C4989E9uCXDB" TargetMode="External"/><Relationship Id="rId9" Type="http://schemas.openxmlformats.org/officeDocument/2006/relationships/footer" Target="footer2.xml"/><Relationship Id="rId14" Type="http://schemas.openxmlformats.org/officeDocument/2006/relationships/hyperlink" Target="consultantplus://offline/ref=62E01AE08EB97B968CD31A718C79CFA930CC7D09B4175258E566466B5356627F5F03AA27B8397D876497F620C27C1A33BEBF210250F726DBC48E3BGBv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Цуканова Татьяна Владимировна</dc:creator>
  <cp:keywords/>
  <dc:description/>
  <cp:lastModifiedBy>Цуканова Татьяна Владимировна</cp:lastModifiedBy>
  <cp:revision>5</cp:revision>
  <dcterms:created xsi:type="dcterms:W3CDTF">2020-02-13T06:36:00Z</dcterms:created>
  <dcterms:modified xsi:type="dcterms:W3CDTF">2020-02-13T07:29:00Z</dcterms:modified>
</cp:coreProperties>
</file>